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FA0EA6" w:rsidRPr="00434C47" w14:paraId="0E28F25C" w14:textId="77777777" w:rsidTr="00FA0EA6">
        <w:trPr>
          <w:trHeight w:val="495"/>
        </w:trPr>
        <w:tc>
          <w:tcPr>
            <w:tcW w:w="11058" w:type="dxa"/>
            <w:vAlign w:val="center"/>
          </w:tcPr>
          <w:p w14:paraId="1B90696B" w14:textId="77777777" w:rsidR="00FA0EA6" w:rsidRPr="00434C47" w:rsidRDefault="00FA0EA6" w:rsidP="00FA0EA6">
            <w:pPr>
              <w:spacing w:after="0" w:line="240" w:lineRule="auto"/>
              <w:rPr>
                <w:rFonts w:ascii="Arial Narrow" w:eastAsia="Times New Roman" w:hAnsi="Arial Narrow" w:cs="Arial"/>
                <w:sz w:val="24"/>
                <w:szCs w:val="24"/>
                <w:lang w:val="en-AU" w:eastAsia="en-US"/>
              </w:rPr>
            </w:pPr>
            <w:r w:rsidRPr="00434C47">
              <w:rPr>
                <w:rFonts w:ascii="Arial Narrow" w:eastAsia="Times New Roman" w:hAnsi="Arial Narrow" w:cs="Arial"/>
                <w:b/>
                <w:bCs/>
                <w:sz w:val="24"/>
                <w:szCs w:val="24"/>
                <w:lang w:val="en-AU" w:eastAsia="en-US"/>
              </w:rPr>
              <w:t>To:</w:t>
            </w:r>
            <w:r w:rsidRPr="00434C47">
              <w:rPr>
                <w:rFonts w:ascii="Arial Narrow" w:eastAsia="Times New Roman" w:hAnsi="Arial Narrow" w:cs="Arial"/>
                <w:sz w:val="24"/>
                <w:szCs w:val="24"/>
                <w:lang w:val="en-AU" w:eastAsia="en-US"/>
              </w:rPr>
              <w:t xml:space="preserve">   </w:t>
            </w:r>
            <w:r w:rsidR="00E705C5">
              <w:rPr>
                <w:rFonts w:ascii="Arial Narrow" w:eastAsia="Times New Roman" w:hAnsi="Arial Narrow" w:cs="Arial"/>
                <w:sz w:val="24"/>
                <w:szCs w:val="24"/>
                <w:lang w:val="en-AU" w:eastAsia="en-US"/>
              </w:rPr>
              <w:t xml:space="preserve">   </w:t>
            </w:r>
            <w:r w:rsidR="00772A7A">
              <w:rPr>
                <w:rFonts w:ascii="Arial Narrow" w:eastAsia="Times New Roman" w:hAnsi="Arial Narrow" w:cs="Arial"/>
                <w:sz w:val="24"/>
                <w:szCs w:val="24"/>
                <w:lang w:val="en-AU" w:eastAsia="en-US"/>
              </w:rPr>
              <w:t xml:space="preserve">    </w:t>
            </w:r>
            <w:r w:rsidRPr="00434C47">
              <w:rPr>
                <w:rFonts w:ascii="Arial Narrow" w:eastAsia="Times New Roman" w:hAnsi="Arial Narrow" w:cs="Arial"/>
                <w:sz w:val="24"/>
                <w:szCs w:val="24"/>
                <w:lang w:val="en-AU" w:eastAsia="en-US"/>
              </w:rPr>
              <w:t>All Media</w:t>
            </w:r>
          </w:p>
        </w:tc>
      </w:tr>
      <w:tr w:rsidR="00FA0EA6" w:rsidRPr="00434C47" w14:paraId="492315EF" w14:textId="77777777" w:rsidTr="00FA0EA6">
        <w:trPr>
          <w:trHeight w:val="495"/>
        </w:trPr>
        <w:tc>
          <w:tcPr>
            <w:tcW w:w="11058" w:type="dxa"/>
            <w:vAlign w:val="center"/>
          </w:tcPr>
          <w:p w14:paraId="53E667A5" w14:textId="77777777" w:rsidR="00FA0EA6" w:rsidRPr="00434C47" w:rsidRDefault="00FA0EA6" w:rsidP="00772A7A">
            <w:pPr>
              <w:spacing w:after="0" w:line="240" w:lineRule="auto"/>
              <w:rPr>
                <w:rFonts w:ascii="Arial Narrow" w:eastAsia="Times New Roman" w:hAnsi="Arial Narrow" w:cs="Arial"/>
                <w:sz w:val="24"/>
                <w:szCs w:val="24"/>
                <w:lang w:val="en-AU" w:eastAsia="en-US"/>
              </w:rPr>
            </w:pPr>
            <w:r w:rsidRPr="00434C47">
              <w:rPr>
                <w:rFonts w:ascii="Arial Narrow" w:eastAsia="Times New Roman" w:hAnsi="Arial Narrow" w:cs="Arial"/>
                <w:b/>
                <w:bCs/>
                <w:sz w:val="24"/>
                <w:szCs w:val="24"/>
                <w:lang w:val="en-AU" w:eastAsia="en-US"/>
              </w:rPr>
              <w:t>From</w:t>
            </w:r>
            <w:r w:rsidRPr="00434C47">
              <w:rPr>
                <w:rFonts w:ascii="Arial Narrow" w:eastAsia="Times New Roman" w:hAnsi="Arial Narrow" w:cs="Arial"/>
                <w:sz w:val="24"/>
                <w:szCs w:val="24"/>
                <w:lang w:val="en-AU" w:eastAsia="en-US"/>
              </w:rPr>
              <w:t xml:space="preserve">:  </w:t>
            </w:r>
            <w:r w:rsidR="00772A7A">
              <w:rPr>
                <w:rFonts w:ascii="Arial Narrow" w:eastAsia="Times New Roman" w:hAnsi="Arial Narrow" w:cs="Arial"/>
                <w:sz w:val="24"/>
                <w:szCs w:val="24"/>
                <w:lang w:val="en-AU" w:eastAsia="en-US"/>
              </w:rPr>
              <w:t xml:space="preserve">  </w:t>
            </w:r>
            <w:r w:rsidRPr="00434C47">
              <w:rPr>
                <w:rFonts w:ascii="Arial Narrow" w:eastAsia="Times New Roman" w:hAnsi="Arial Narrow" w:cs="Arial"/>
                <w:sz w:val="24"/>
                <w:szCs w:val="24"/>
                <w:lang w:val="en-AU" w:eastAsia="en-US"/>
              </w:rPr>
              <w:t xml:space="preserve"> </w:t>
            </w:r>
            <w:r w:rsidR="00772A7A">
              <w:rPr>
                <w:rFonts w:ascii="Arial Narrow" w:eastAsia="Times New Roman" w:hAnsi="Arial Narrow" w:cs="Arial"/>
                <w:sz w:val="24"/>
                <w:szCs w:val="24"/>
                <w:lang w:val="en-AU" w:eastAsia="en-US"/>
              </w:rPr>
              <w:t>QLDC Communications</w:t>
            </w:r>
          </w:p>
        </w:tc>
      </w:tr>
      <w:tr w:rsidR="00FA0EA6" w:rsidRPr="00434C47" w14:paraId="329E101F" w14:textId="77777777" w:rsidTr="00FA0EA6">
        <w:trPr>
          <w:trHeight w:val="495"/>
        </w:trPr>
        <w:tc>
          <w:tcPr>
            <w:tcW w:w="11058" w:type="dxa"/>
            <w:vAlign w:val="center"/>
          </w:tcPr>
          <w:p w14:paraId="620D485D" w14:textId="77777777" w:rsidR="00FA0EA6" w:rsidRPr="00434C47" w:rsidRDefault="00FA0EA6" w:rsidP="0071006E">
            <w:pPr>
              <w:spacing w:after="0" w:line="240" w:lineRule="auto"/>
              <w:rPr>
                <w:rFonts w:ascii="Arial Narrow" w:eastAsia="Times New Roman" w:hAnsi="Arial Narrow" w:cs="Arial"/>
                <w:sz w:val="24"/>
                <w:szCs w:val="24"/>
                <w:lang w:val="en-AU" w:eastAsia="en-US"/>
              </w:rPr>
            </w:pPr>
            <w:r w:rsidRPr="00434C47">
              <w:rPr>
                <w:rFonts w:ascii="Arial Narrow" w:eastAsia="Times New Roman" w:hAnsi="Arial Narrow" w:cs="Arial"/>
                <w:b/>
                <w:bCs/>
                <w:sz w:val="24"/>
                <w:szCs w:val="24"/>
                <w:lang w:val="en-AU" w:eastAsia="en-US"/>
              </w:rPr>
              <w:t>Date:</w:t>
            </w:r>
            <w:r w:rsidRPr="00434C47">
              <w:rPr>
                <w:rFonts w:ascii="Arial Narrow" w:eastAsia="Times New Roman" w:hAnsi="Arial Narrow" w:cs="Arial"/>
                <w:sz w:val="24"/>
                <w:szCs w:val="24"/>
                <w:lang w:val="en-AU" w:eastAsia="en-US"/>
              </w:rPr>
              <w:t xml:space="preserve">  </w:t>
            </w:r>
            <w:r w:rsidR="00772A7A">
              <w:rPr>
                <w:rFonts w:ascii="Arial Narrow" w:eastAsia="Times New Roman" w:hAnsi="Arial Narrow" w:cs="Arial"/>
                <w:sz w:val="24"/>
                <w:szCs w:val="24"/>
                <w:lang w:val="en-AU" w:eastAsia="en-US"/>
              </w:rPr>
              <w:t xml:space="preserve">     </w:t>
            </w:r>
            <w:r>
              <w:rPr>
                <w:rFonts w:ascii="Arial Narrow" w:eastAsia="Times New Roman" w:hAnsi="Arial Narrow" w:cs="Arial"/>
                <w:sz w:val="24"/>
                <w:szCs w:val="24"/>
                <w:lang w:val="en-AU" w:eastAsia="en-US"/>
              </w:rPr>
              <w:fldChar w:fldCharType="begin"/>
            </w:r>
            <w:r>
              <w:rPr>
                <w:rFonts w:ascii="Arial Narrow" w:eastAsia="Times New Roman" w:hAnsi="Arial Narrow" w:cs="Arial"/>
                <w:sz w:val="24"/>
                <w:szCs w:val="24"/>
                <w:lang w:val="en-AU" w:eastAsia="en-US"/>
              </w:rPr>
              <w:instrText xml:space="preserve"> DATE \@ "dddd, d MMMM yyyy" </w:instrText>
            </w:r>
            <w:r>
              <w:rPr>
                <w:rFonts w:ascii="Arial Narrow" w:eastAsia="Times New Roman" w:hAnsi="Arial Narrow" w:cs="Arial"/>
                <w:sz w:val="24"/>
                <w:szCs w:val="24"/>
                <w:lang w:val="en-AU" w:eastAsia="en-US"/>
              </w:rPr>
              <w:fldChar w:fldCharType="separate"/>
            </w:r>
            <w:r w:rsidR="00F43F90">
              <w:rPr>
                <w:rFonts w:ascii="Arial Narrow" w:eastAsia="Times New Roman" w:hAnsi="Arial Narrow" w:cs="Arial"/>
                <w:noProof/>
                <w:sz w:val="24"/>
                <w:szCs w:val="24"/>
                <w:lang w:val="en-AU" w:eastAsia="en-US"/>
              </w:rPr>
              <w:t>Tuesday, 12 March 2019</w:t>
            </w:r>
            <w:r>
              <w:rPr>
                <w:rFonts w:ascii="Arial Narrow" w:eastAsia="Times New Roman" w:hAnsi="Arial Narrow" w:cs="Arial"/>
                <w:sz w:val="24"/>
                <w:szCs w:val="24"/>
                <w:lang w:val="en-AU" w:eastAsia="en-US"/>
              </w:rPr>
              <w:fldChar w:fldCharType="end"/>
            </w:r>
          </w:p>
        </w:tc>
      </w:tr>
      <w:tr w:rsidR="00FA0EA6" w:rsidRPr="00434C47" w14:paraId="678CBCFF" w14:textId="77777777" w:rsidTr="00FA0EA6">
        <w:trPr>
          <w:trHeight w:val="407"/>
        </w:trPr>
        <w:tc>
          <w:tcPr>
            <w:tcW w:w="11058" w:type="dxa"/>
            <w:vAlign w:val="center"/>
          </w:tcPr>
          <w:p w14:paraId="74DD4429" w14:textId="77777777" w:rsidR="00FA0EA6" w:rsidRPr="00434C47" w:rsidRDefault="00FA0EA6" w:rsidP="00772A7A">
            <w:pPr>
              <w:spacing w:after="0" w:line="240" w:lineRule="auto"/>
              <w:rPr>
                <w:rFonts w:ascii="Arial Narrow" w:eastAsia="Times New Roman" w:hAnsi="Arial Narrow" w:cs="Arial"/>
                <w:sz w:val="24"/>
                <w:szCs w:val="24"/>
                <w:lang w:val="en-AU" w:eastAsia="en-US"/>
              </w:rPr>
            </w:pPr>
            <w:r w:rsidRPr="00434C47">
              <w:rPr>
                <w:rFonts w:ascii="Arial Narrow" w:eastAsia="Times New Roman" w:hAnsi="Arial Narrow" w:cs="Arial"/>
                <w:b/>
                <w:bCs/>
                <w:sz w:val="24"/>
                <w:szCs w:val="24"/>
                <w:lang w:val="en-AU" w:eastAsia="en-US"/>
              </w:rPr>
              <w:t>Subject:</w:t>
            </w:r>
            <w:r w:rsidRPr="00434C47">
              <w:rPr>
                <w:rFonts w:ascii="Arial Narrow" w:eastAsia="Times New Roman" w:hAnsi="Arial Narrow" w:cs="Arial"/>
                <w:sz w:val="24"/>
                <w:szCs w:val="24"/>
                <w:lang w:val="en-AU" w:eastAsia="en-US"/>
              </w:rPr>
              <w:t xml:space="preserve">  </w:t>
            </w:r>
            <w:r w:rsidR="00772A7A">
              <w:rPr>
                <w:rFonts w:ascii="Arial Narrow" w:eastAsia="Times New Roman" w:hAnsi="Arial Narrow" w:cs="Arial"/>
                <w:sz w:val="24"/>
                <w:szCs w:val="24"/>
                <w:lang w:val="en-AU" w:eastAsia="en-US"/>
              </w:rPr>
              <w:t>P</w:t>
            </w:r>
            <w:r w:rsidR="00772A7A" w:rsidRPr="00772A7A">
              <w:rPr>
                <w:rFonts w:ascii="Arial Narrow" w:eastAsia="Times New Roman" w:hAnsi="Arial Narrow" w:cs="Arial"/>
                <w:sz w:val="24"/>
                <w:szCs w:val="24"/>
                <w:lang w:val="en-AU" w:eastAsia="en-US"/>
              </w:rPr>
              <w:t>opulation projections shed light on average day and peak day for the district</w:t>
            </w:r>
          </w:p>
        </w:tc>
      </w:tr>
    </w:tbl>
    <w:p w14:paraId="1D3B7641" w14:textId="77777777" w:rsidR="00FA0EA6" w:rsidRDefault="00FA0EA6" w:rsidP="00C15D89"/>
    <w:p w14:paraId="0D345982" w14:textId="77777777" w:rsidR="00B75E37" w:rsidRPr="009B261D" w:rsidRDefault="00772A7A" w:rsidP="00C15D89">
      <w:pPr>
        <w:rPr>
          <w:rFonts w:ascii="Arial" w:hAnsi="Arial" w:cs="Arial"/>
          <w:sz w:val="22"/>
          <w:szCs w:val="24"/>
        </w:rPr>
      </w:pPr>
      <w:r w:rsidRPr="009B261D">
        <w:rPr>
          <w:rFonts w:ascii="Arial" w:hAnsi="Arial" w:cs="Arial"/>
          <w:sz w:val="22"/>
          <w:szCs w:val="24"/>
        </w:rPr>
        <w:t xml:space="preserve">Population projections for the Queenstown Lakes District have been published on the Queenstown Lakes District Council (QLDC) </w:t>
      </w:r>
      <w:bookmarkStart w:id="0" w:name="_GoBack"/>
      <w:bookmarkEnd w:id="0"/>
      <w:r w:rsidRPr="009B261D">
        <w:rPr>
          <w:rFonts w:ascii="Arial" w:hAnsi="Arial" w:cs="Arial"/>
          <w:sz w:val="22"/>
          <w:szCs w:val="24"/>
        </w:rPr>
        <w:t>website.</w:t>
      </w:r>
    </w:p>
    <w:p w14:paraId="2C5A850D" w14:textId="77777777" w:rsidR="001A24C7" w:rsidRPr="009B261D" w:rsidRDefault="004C061D" w:rsidP="00772A7A">
      <w:pPr>
        <w:rPr>
          <w:rFonts w:ascii="Arial" w:hAnsi="Arial" w:cs="Arial"/>
          <w:sz w:val="22"/>
          <w:szCs w:val="24"/>
        </w:rPr>
      </w:pPr>
      <w:r w:rsidRPr="009B261D">
        <w:rPr>
          <w:rFonts w:ascii="Arial" w:hAnsi="Arial" w:cs="Arial"/>
          <w:sz w:val="22"/>
          <w:szCs w:val="24"/>
        </w:rPr>
        <w:t>The</w:t>
      </w:r>
      <w:r w:rsidR="00772A7A" w:rsidRPr="009B261D">
        <w:rPr>
          <w:rFonts w:ascii="Arial" w:hAnsi="Arial" w:cs="Arial"/>
          <w:sz w:val="22"/>
          <w:szCs w:val="24"/>
        </w:rPr>
        <w:t xml:space="preserve"> data sheds light on the average day and peak day population figures for </w:t>
      </w:r>
      <w:r w:rsidR="001A24C7" w:rsidRPr="009B261D">
        <w:rPr>
          <w:rFonts w:ascii="Arial" w:hAnsi="Arial" w:cs="Arial"/>
          <w:sz w:val="22"/>
          <w:szCs w:val="24"/>
        </w:rPr>
        <w:t>all of the communities in our district - urban, rural, large and small</w:t>
      </w:r>
      <w:r w:rsidRPr="009B261D">
        <w:rPr>
          <w:rFonts w:ascii="Arial" w:hAnsi="Arial" w:cs="Arial"/>
          <w:sz w:val="22"/>
          <w:szCs w:val="24"/>
        </w:rPr>
        <w:t xml:space="preserve"> – and projects forward to 20</w:t>
      </w:r>
      <w:r w:rsidR="0071006E" w:rsidRPr="009B261D">
        <w:rPr>
          <w:rFonts w:ascii="Arial" w:hAnsi="Arial" w:cs="Arial"/>
          <w:sz w:val="22"/>
          <w:szCs w:val="24"/>
        </w:rPr>
        <w:t>48</w:t>
      </w:r>
      <w:r w:rsidR="001A24C7" w:rsidRPr="009B261D">
        <w:rPr>
          <w:rFonts w:ascii="Arial" w:hAnsi="Arial" w:cs="Arial"/>
          <w:sz w:val="22"/>
          <w:szCs w:val="24"/>
        </w:rPr>
        <w:t xml:space="preserve">. </w:t>
      </w:r>
    </w:p>
    <w:p w14:paraId="27AF1FBD" w14:textId="77777777" w:rsidR="002B4941" w:rsidRPr="009B261D" w:rsidRDefault="007A7BDA" w:rsidP="00772A7A">
      <w:pPr>
        <w:rPr>
          <w:rFonts w:ascii="Arial" w:hAnsi="Arial" w:cs="Arial"/>
          <w:sz w:val="22"/>
          <w:szCs w:val="24"/>
        </w:rPr>
      </w:pPr>
      <w:r w:rsidRPr="009B261D">
        <w:rPr>
          <w:rFonts w:ascii="Arial" w:hAnsi="Arial" w:cs="Arial"/>
          <w:sz w:val="22"/>
          <w:szCs w:val="24"/>
        </w:rPr>
        <w:t xml:space="preserve">QLDC Policy and Performance Manager Anita Vanstone has overseen </w:t>
      </w:r>
      <w:r w:rsidR="002B4941" w:rsidRPr="009B261D">
        <w:rPr>
          <w:rFonts w:ascii="Arial" w:hAnsi="Arial" w:cs="Arial"/>
          <w:sz w:val="22"/>
          <w:szCs w:val="24"/>
        </w:rPr>
        <w:t>the</w:t>
      </w:r>
      <w:r w:rsidRPr="009B261D">
        <w:rPr>
          <w:rFonts w:ascii="Arial" w:hAnsi="Arial" w:cs="Arial"/>
          <w:sz w:val="22"/>
          <w:szCs w:val="24"/>
        </w:rPr>
        <w:t xml:space="preserve"> data gathering process and advised the </w:t>
      </w:r>
      <w:r w:rsidR="001A24C7" w:rsidRPr="009B261D">
        <w:rPr>
          <w:rFonts w:ascii="Arial" w:hAnsi="Arial" w:cs="Arial"/>
          <w:sz w:val="22"/>
          <w:szCs w:val="24"/>
        </w:rPr>
        <w:t xml:space="preserve">projections </w:t>
      </w:r>
      <w:r w:rsidR="002B4941" w:rsidRPr="009B261D">
        <w:rPr>
          <w:rFonts w:ascii="Arial" w:hAnsi="Arial" w:cs="Arial"/>
          <w:sz w:val="22"/>
          <w:szCs w:val="24"/>
        </w:rPr>
        <w:t>will be released to the public twice a year – in June and December.</w:t>
      </w:r>
    </w:p>
    <w:p w14:paraId="04614B3D" w14:textId="77777777" w:rsidR="002325A0" w:rsidRPr="009B261D" w:rsidRDefault="002325A0" w:rsidP="002325A0">
      <w:pPr>
        <w:rPr>
          <w:rFonts w:ascii="Arial" w:hAnsi="Arial" w:cs="Arial"/>
          <w:sz w:val="22"/>
          <w:szCs w:val="24"/>
        </w:rPr>
      </w:pPr>
      <w:r w:rsidRPr="009B261D">
        <w:rPr>
          <w:rFonts w:ascii="Arial" w:hAnsi="Arial" w:cs="Arial"/>
          <w:sz w:val="22"/>
          <w:szCs w:val="24"/>
        </w:rPr>
        <w:t>“The projections are based on a ‘business as usual’ model and do not assume any constraints or intervention in the market,” said Ms Vanstone.</w:t>
      </w:r>
    </w:p>
    <w:p w14:paraId="239011C5" w14:textId="77777777" w:rsidR="002325A0" w:rsidRPr="009B261D" w:rsidRDefault="007835DD" w:rsidP="007835DD">
      <w:pPr>
        <w:rPr>
          <w:rFonts w:ascii="Arial" w:hAnsi="Arial" w:cs="Arial"/>
          <w:sz w:val="22"/>
          <w:szCs w:val="24"/>
        </w:rPr>
      </w:pPr>
      <w:r w:rsidRPr="009B261D">
        <w:rPr>
          <w:rFonts w:ascii="Arial" w:hAnsi="Arial" w:cs="Arial"/>
          <w:sz w:val="22"/>
          <w:szCs w:val="24"/>
        </w:rPr>
        <w:t xml:space="preserve">In addition to average and peak day population figures, the data also includes projections for the number of required visitor units and occupied </w:t>
      </w:r>
      <w:r w:rsidR="005C0C8A" w:rsidRPr="009B261D">
        <w:rPr>
          <w:rFonts w:ascii="Arial" w:hAnsi="Arial" w:cs="Arial"/>
          <w:sz w:val="22"/>
          <w:szCs w:val="24"/>
        </w:rPr>
        <w:t>/</w:t>
      </w:r>
      <w:r w:rsidRPr="009B261D">
        <w:rPr>
          <w:rFonts w:ascii="Arial" w:hAnsi="Arial" w:cs="Arial"/>
          <w:sz w:val="22"/>
          <w:szCs w:val="24"/>
        </w:rPr>
        <w:t xml:space="preserve"> unoccupied dwellings.</w:t>
      </w:r>
    </w:p>
    <w:p w14:paraId="6906654A" w14:textId="77777777" w:rsidR="007835DD" w:rsidRPr="009B261D" w:rsidRDefault="002325A0" w:rsidP="007835DD">
      <w:pPr>
        <w:rPr>
          <w:rFonts w:ascii="Arial" w:hAnsi="Arial" w:cs="Arial"/>
          <w:sz w:val="22"/>
          <w:szCs w:val="24"/>
        </w:rPr>
      </w:pPr>
      <w:r w:rsidRPr="009B261D">
        <w:rPr>
          <w:rFonts w:ascii="Arial" w:hAnsi="Arial" w:cs="Arial"/>
          <w:sz w:val="22"/>
          <w:szCs w:val="24"/>
        </w:rPr>
        <w:t>“</w:t>
      </w:r>
      <w:r w:rsidR="002B4941" w:rsidRPr="009B261D">
        <w:rPr>
          <w:rFonts w:ascii="Arial" w:hAnsi="Arial" w:cs="Arial"/>
          <w:sz w:val="22"/>
          <w:szCs w:val="24"/>
        </w:rPr>
        <w:t xml:space="preserve">Having access to this information more frequently will be extremely useful in future planning – not only for </w:t>
      </w:r>
      <w:r w:rsidRPr="009B261D">
        <w:rPr>
          <w:rFonts w:ascii="Arial" w:hAnsi="Arial" w:cs="Arial"/>
          <w:sz w:val="22"/>
          <w:szCs w:val="24"/>
        </w:rPr>
        <w:t>QLDC and other government bodies and ministries</w:t>
      </w:r>
      <w:r w:rsidR="002B4941" w:rsidRPr="009B261D">
        <w:rPr>
          <w:rFonts w:ascii="Arial" w:hAnsi="Arial" w:cs="Arial"/>
          <w:sz w:val="22"/>
          <w:szCs w:val="24"/>
        </w:rPr>
        <w:t xml:space="preserve"> but for business owners who want to pre-empt periods of particularly high </w:t>
      </w:r>
      <w:r w:rsidR="005C0C8A" w:rsidRPr="009B261D">
        <w:rPr>
          <w:rFonts w:ascii="Arial" w:hAnsi="Arial" w:cs="Arial"/>
          <w:sz w:val="22"/>
          <w:szCs w:val="24"/>
        </w:rPr>
        <w:t>demand</w:t>
      </w:r>
      <w:r w:rsidR="002B4941" w:rsidRPr="009B261D">
        <w:rPr>
          <w:rFonts w:ascii="Arial" w:hAnsi="Arial" w:cs="Arial"/>
          <w:sz w:val="22"/>
          <w:szCs w:val="24"/>
        </w:rPr>
        <w:t xml:space="preserve">,” </w:t>
      </w:r>
      <w:r w:rsidRPr="009B261D">
        <w:rPr>
          <w:rFonts w:ascii="Arial" w:hAnsi="Arial" w:cs="Arial"/>
          <w:sz w:val="22"/>
          <w:szCs w:val="24"/>
        </w:rPr>
        <w:t xml:space="preserve">Ms Vanstone added. </w:t>
      </w:r>
    </w:p>
    <w:p w14:paraId="3568C6F6" w14:textId="77777777" w:rsidR="005C0C8A" w:rsidRPr="009B261D" w:rsidRDefault="005C0C8A" w:rsidP="007835DD">
      <w:pPr>
        <w:rPr>
          <w:rFonts w:ascii="Arial" w:hAnsi="Arial" w:cs="Arial"/>
          <w:sz w:val="22"/>
          <w:szCs w:val="24"/>
        </w:rPr>
      </w:pPr>
      <w:r w:rsidRPr="009B261D">
        <w:rPr>
          <w:rFonts w:ascii="Arial" w:hAnsi="Arial" w:cs="Arial"/>
          <w:sz w:val="22"/>
          <w:szCs w:val="24"/>
        </w:rPr>
        <w:t>QLDC Chief Executive Mike Theelen added that the revised predictions reinforced the value of Council’s ongoing partnership work with Central Government.</w:t>
      </w:r>
    </w:p>
    <w:p w14:paraId="0FA5A79B" w14:textId="77777777" w:rsidR="005C0C8A" w:rsidRPr="009B261D" w:rsidRDefault="005C0C8A" w:rsidP="007835DD">
      <w:pPr>
        <w:rPr>
          <w:rFonts w:ascii="Arial" w:hAnsi="Arial" w:cs="Arial"/>
          <w:sz w:val="22"/>
          <w:szCs w:val="24"/>
        </w:rPr>
      </w:pPr>
      <w:r w:rsidRPr="009B261D">
        <w:rPr>
          <w:rFonts w:ascii="Arial" w:hAnsi="Arial" w:cs="Arial"/>
          <w:sz w:val="22"/>
          <w:szCs w:val="24"/>
        </w:rPr>
        <w:t>“These figures reflect the challenges our district is facing more clearly than previous numbers, and it’s easy to see the demand that this places on the services and infrastructure Council and other agencies provide,” said Mr Theelen.</w:t>
      </w:r>
    </w:p>
    <w:p w14:paraId="611BAFC9" w14:textId="77777777" w:rsidR="005C0C8A" w:rsidRPr="009B261D" w:rsidRDefault="005C0C8A" w:rsidP="007835DD">
      <w:pPr>
        <w:rPr>
          <w:rFonts w:ascii="Arial" w:hAnsi="Arial" w:cs="Arial"/>
          <w:sz w:val="22"/>
          <w:szCs w:val="24"/>
        </w:rPr>
      </w:pPr>
      <w:r w:rsidRPr="009B261D">
        <w:rPr>
          <w:rFonts w:ascii="Arial" w:hAnsi="Arial" w:cs="Arial"/>
          <w:sz w:val="22"/>
          <w:szCs w:val="24"/>
        </w:rPr>
        <w:t>“It certainly underpins Council’s recent decision to instigate the visitor levy referendum and our case to Central Government for alternative and innovative funding mechanisms.”</w:t>
      </w:r>
    </w:p>
    <w:p w14:paraId="7E33A0FC" w14:textId="77777777" w:rsidR="00772A7A" w:rsidRPr="009B261D" w:rsidRDefault="007835DD" w:rsidP="00772A7A">
      <w:pPr>
        <w:rPr>
          <w:rFonts w:ascii="Arial" w:hAnsi="Arial" w:cs="Arial"/>
          <w:b/>
          <w:sz w:val="22"/>
          <w:szCs w:val="24"/>
        </w:rPr>
      </w:pPr>
      <w:r w:rsidRPr="009B261D">
        <w:rPr>
          <w:rFonts w:ascii="Arial" w:hAnsi="Arial" w:cs="Arial"/>
          <w:b/>
          <w:sz w:val="22"/>
          <w:szCs w:val="24"/>
        </w:rPr>
        <w:t>ENDS.</w:t>
      </w:r>
    </w:p>
    <w:p w14:paraId="1DB3E420" w14:textId="77777777" w:rsidR="00F86526" w:rsidRPr="009B261D" w:rsidRDefault="00F86526" w:rsidP="00F86526">
      <w:pPr>
        <w:rPr>
          <w:rFonts w:ascii="Arial" w:hAnsi="Arial" w:cs="Arial"/>
          <w:sz w:val="22"/>
          <w:szCs w:val="24"/>
        </w:rPr>
      </w:pPr>
      <w:r w:rsidRPr="009B261D">
        <w:rPr>
          <w:rFonts w:ascii="Arial" w:hAnsi="Arial" w:cs="Arial"/>
          <w:sz w:val="22"/>
          <w:szCs w:val="24"/>
        </w:rPr>
        <w:t xml:space="preserve">To view the projections, please visit: </w:t>
      </w:r>
      <w:hyperlink r:id="rId6" w:history="1">
        <w:r w:rsidRPr="009B261D">
          <w:rPr>
            <w:rStyle w:val="Hyperlink"/>
            <w:rFonts w:ascii="Arial" w:hAnsi="Arial" w:cs="Arial"/>
            <w:sz w:val="22"/>
            <w:szCs w:val="24"/>
          </w:rPr>
          <w:t>https://www.qldc.govt.nz/our-community/population-projections</w:t>
        </w:r>
      </w:hyperlink>
      <w:r w:rsidRPr="009B261D">
        <w:rPr>
          <w:rFonts w:ascii="Arial" w:hAnsi="Arial" w:cs="Arial"/>
          <w:sz w:val="22"/>
          <w:szCs w:val="24"/>
        </w:rPr>
        <w:t xml:space="preserve"> </w:t>
      </w:r>
    </w:p>
    <w:p w14:paraId="19436DC7" w14:textId="77777777" w:rsidR="007835DD" w:rsidRPr="009B261D" w:rsidRDefault="007835DD" w:rsidP="007835DD">
      <w:pPr>
        <w:rPr>
          <w:rFonts w:ascii="Arial" w:hAnsi="Arial" w:cs="Arial"/>
          <w:sz w:val="22"/>
          <w:szCs w:val="24"/>
        </w:rPr>
      </w:pPr>
      <w:r w:rsidRPr="009B261D">
        <w:rPr>
          <w:rFonts w:ascii="Arial" w:hAnsi="Arial" w:cs="Arial"/>
          <w:sz w:val="22"/>
          <w:szCs w:val="24"/>
        </w:rPr>
        <w:t>For more information, please contact QLDC Communications via </w:t>
      </w:r>
      <w:hyperlink r:id="rId7" w:history="1">
        <w:r w:rsidRPr="009B261D">
          <w:rPr>
            <w:rStyle w:val="Hyperlink"/>
            <w:rFonts w:ascii="Arial" w:hAnsi="Arial" w:cs="Arial"/>
            <w:sz w:val="22"/>
            <w:szCs w:val="24"/>
          </w:rPr>
          <w:t>communications@qldc.govt.nz</w:t>
        </w:r>
      </w:hyperlink>
      <w:r w:rsidRPr="009B261D">
        <w:rPr>
          <w:rFonts w:ascii="Arial" w:hAnsi="Arial" w:cs="Arial"/>
          <w:sz w:val="22"/>
          <w:szCs w:val="24"/>
        </w:rPr>
        <w:t> or call 03 441 1802.</w:t>
      </w:r>
    </w:p>
    <w:p w14:paraId="4AD73014" w14:textId="77777777" w:rsidR="007835DD" w:rsidRPr="00B75E37" w:rsidRDefault="007835DD" w:rsidP="00772A7A">
      <w:pPr>
        <w:rPr>
          <w:rFonts w:ascii="Arial" w:hAnsi="Arial" w:cs="Arial"/>
          <w:sz w:val="24"/>
          <w:szCs w:val="24"/>
        </w:rPr>
      </w:pPr>
    </w:p>
    <w:sectPr w:rsidR="007835DD" w:rsidRPr="00B75E37" w:rsidSect="00E376B1">
      <w:headerReference w:type="default" r:id="rId8"/>
      <w:headerReference w:type="first" r:id="rId9"/>
      <w:pgSz w:w="11906" w:h="16838"/>
      <w:pgMar w:top="1440" w:right="1440" w:bottom="1440" w:left="144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112B" w14:textId="77777777" w:rsidR="008C6796" w:rsidRDefault="008C6796" w:rsidP="00B7011C">
      <w:pPr>
        <w:spacing w:after="0" w:line="240" w:lineRule="auto"/>
      </w:pPr>
      <w:r>
        <w:separator/>
      </w:r>
    </w:p>
  </w:endnote>
  <w:endnote w:type="continuationSeparator" w:id="0">
    <w:p w14:paraId="0C9DADB2" w14:textId="77777777" w:rsidR="008C6796" w:rsidRDefault="008C6796" w:rsidP="00B7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BBA21" w14:textId="77777777" w:rsidR="008C6796" w:rsidRDefault="008C6796" w:rsidP="00B7011C">
      <w:pPr>
        <w:spacing w:after="0" w:line="240" w:lineRule="auto"/>
      </w:pPr>
      <w:r>
        <w:separator/>
      </w:r>
    </w:p>
  </w:footnote>
  <w:footnote w:type="continuationSeparator" w:id="0">
    <w:p w14:paraId="0C953537" w14:textId="77777777" w:rsidR="008C6796" w:rsidRDefault="008C6796" w:rsidP="00B7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963D" w14:textId="77777777" w:rsidR="00FA0EA6" w:rsidRDefault="00FA0EA6" w:rsidP="009E6017">
    <w:pPr>
      <w:ind w:left="-1418"/>
      <w:rPr>
        <w:noProof/>
      </w:rPr>
    </w:pPr>
  </w:p>
  <w:p w14:paraId="43667854" w14:textId="77777777" w:rsidR="00FA0EA6" w:rsidRDefault="00FA0EA6" w:rsidP="009E6017">
    <w:pPr>
      <w:ind w:left="-1418"/>
      <w:rPr>
        <w:noProof/>
      </w:rPr>
    </w:pPr>
  </w:p>
  <w:p w14:paraId="4D230402" w14:textId="77777777" w:rsidR="00FA0EA6" w:rsidRDefault="00FA0EA6" w:rsidP="009E6017">
    <w:pPr>
      <w:ind w:left="-1418"/>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4DAA" w14:textId="77777777" w:rsidR="00E376B1" w:rsidRDefault="00E705C5" w:rsidP="00E376B1">
    <w:pPr>
      <w:pStyle w:val="Header"/>
      <w:ind w:left="-1134"/>
      <w:rPr>
        <w:noProof/>
      </w:rPr>
    </w:pPr>
    <w:r>
      <w:rPr>
        <w:noProof/>
      </w:rPr>
      <w:drawing>
        <wp:inline distT="0" distB="0" distL="0" distR="0" wp14:anchorId="239C402D" wp14:editId="3C56C455">
          <wp:extent cx="7160895" cy="1256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0895" cy="1256030"/>
                  </a:xfrm>
                  <a:prstGeom prst="rect">
                    <a:avLst/>
                  </a:prstGeom>
                  <a:noFill/>
                  <a:ln>
                    <a:noFill/>
                  </a:ln>
                </pic:spPr>
              </pic:pic>
            </a:graphicData>
          </a:graphic>
        </wp:inline>
      </w:drawing>
    </w:r>
  </w:p>
  <w:p w14:paraId="1E1A519F" w14:textId="77777777" w:rsidR="00E376B1" w:rsidRDefault="00E376B1" w:rsidP="00E376B1">
    <w:pPr>
      <w:pStyle w:val="Header"/>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C5"/>
    <w:rsid w:val="001A24C7"/>
    <w:rsid w:val="002325A0"/>
    <w:rsid w:val="00282F8F"/>
    <w:rsid w:val="002B4941"/>
    <w:rsid w:val="002E4289"/>
    <w:rsid w:val="002F7F01"/>
    <w:rsid w:val="00434C47"/>
    <w:rsid w:val="004C061D"/>
    <w:rsid w:val="004E5675"/>
    <w:rsid w:val="00543094"/>
    <w:rsid w:val="0056023A"/>
    <w:rsid w:val="005C0C8A"/>
    <w:rsid w:val="005E3189"/>
    <w:rsid w:val="0071006E"/>
    <w:rsid w:val="00721163"/>
    <w:rsid w:val="00772A7A"/>
    <w:rsid w:val="007835DD"/>
    <w:rsid w:val="007A7BDA"/>
    <w:rsid w:val="008605DE"/>
    <w:rsid w:val="0089611A"/>
    <w:rsid w:val="008C6796"/>
    <w:rsid w:val="008E4CA2"/>
    <w:rsid w:val="009B261D"/>
    <w:rsid w:val="009E6017"/>
    <w:rsid w:val="00A50E31"/>
    <w:rsid w:val="00AA7411"/>
    <w:rsid w:val="00B7011C"/>
    <w:rsid w:val="00B75E37"/>
    <w:rsid w:val="00C15D89"/>
    <w:rsid w:val="00C56A9F"/>
    <w:rsid w:val="00D44842"/>
    <w:rsid w:val="00D90331"/>
    <w:rsid w:val="00E376B1"/>
    <w:rsid w:val="00E705C5"/>
    <w:rsid w:val="00F43F90"/>
    <w:rsid w:val="00F86526"/>
    <w:rsid w:val="00FA0E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D89"/>
  <w15:docId w15:val="{DAEFCD6C-D2E2-4EBF-8908-DA3B97FD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1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011C"/>
    <w:rPr>
      <w:rFonts w:ascii="Tahoma" w:hAnsi="Tahoma" w:cs="Tahoma"/>
      <w:sz w:val="16"/>
      <w:szCs w:val="16"/>
      <w:lang w:eastAsia="en-NZ"/>
    </w:rPr>
  </w:style>
  <w:style w:type="paragraph" w:styleId="Header">
    <w:name w:val="header"/>
    <w:basedOn w:val="Normal"/>
    <w:link w:val="HeaderChar"/>
    <w:uiPriority w:val="99"/>
    <w:unhideWhenUsed/>
    <w:rsid w:val="009E6017"/>
    <w:pPr>
      <w:tabs>
        <w:tab w:val="center" w:pos="4513"/>
        <w:tab w:val="right" w:pos="9026"/>
      </w:tabs>
      <w:spacing w:after="0" w:line="240" w:lineRule="auto"/>
    </w:pPr>
  </w:style>
  <w:style w:type="character" w:customStyle="1" w:styleId="HeaderChar">
    <w:name w:val="Header Char"/>
    <w:link w:val="Header"/>
    <w:uiPriority w:val="99"/>
    <w:rsid w:val="009E6017"/>
    <w:rPr>
      <w:rFonts w:ascii="Calibri" w:hAnsi="Calibri"/>
      <w:sz w:val="20"/>
      <w:szCs w:val="20"/>
      <w:lang w:eastAsia="en-NZ"/>
    </w:rPr>
  </w:style>
  <w:style w:type="paragraph" w:styleId="Footer">
    <w:name w:val="footer"/>
    <w:basedOn w:val="Normal"/>
    <w:link w:val="FooterChar"/>
    <w:uiPriority w:val="99"/>
    <w:unhideWhenUsed/>
    <w:rsid w:val="009E6017"/>
    <w:pPr>
      <w:tabs>
        <w:tab w:val="center" w:pos="4513"/>
        <w:tab w:val="right" w:pos="9026"/>
      </w:tabs>
      <w:spacing w:after="0" w:line="240" w:lineRule="auto"/>
    </w:pPr>
  </w:style>
  <w:style w:type="character" w:customStyle="1" w:styleId="FooterChar">
    <w:name w:val="Footer Char"/>
    <w:link w:val="Footer"/>
    <w:uiPriority w:val="99"/>
    <w:rsid w:val="009E6017"/>
    <w:rPr>
      <w:rFonts w:ascii="Calibri" w:hAnsi="Calibri"/>
      <w:sz w:val="20"/>
      <w:szCs w:val="20"/>
      <w:lang w:eastAsia="en-NZ"/>
    </w:rPr>
  </w:style>
  <w:style w:type="character" w:styleId="Hyperlink">
    <w:name w:val="Hyperlink"/>
    <w:basedOn w:val="DefaultParagraphFont"/>
    <w:uiPriority w:val="99"/>
    <w:unhideWhenUsed/>
    <w:rsid w:val="007835DD"/>
    <w:rPr>
      <w:color w:val="0000FF" w:themeColor="hyperlink"/>
      <w:u w:val="single"/>
    </w:rPr>
  </w:style>
  <w:style w:type="character" w:styleId="FollowedHyperlink">
    <w:name w:val="FollowedHyperlink"/>
    <w:basedOn w:val="DefaultParagraphFont"/>
    <w:uiPriority w:val="99"/>
    <w:semiHidden/>
    <w:unhideWhenUsed/>
    <w:rsid w:val="005C0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13680">
      <w:bodyDiv w:val="1"/>
      <w:marLeft w:val="0"/>
      <w:marRight w:val="0"/>
      <w:marTop w:val="0"/>
      <w:marBottom w:val="0"/>
      <w:divBdr>
        <w:top w:val="none" w:sz="0" w:space="0" w:color="auto"/>
        <w:left w:val="none" w:sz="0" w:space="0" w:color="auto"/>
        <w:bottom w:val="none" w:sz="0" w:space="0" w:color="auto"/>
        <w:right w:val="none" w:sz="0" w:space="0" w:color="auto"/>
      </w:divBdr>
    </w:div>
    <w:div w:id="1727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unications@qldc.govt.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ldc.govt.nz/our-community/population-projection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ldcsvr02\users$\Template\Press%20release%20templat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sqldcsvr02\users$\Template\Press release template 2013.dotx</Template>
  <TotalTime>1</TotalTime>
  <Pages>1</Pages>
  <Words>340</Words>
  <Characters>1861</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Morris</dc:creator>
  <cp:lastModifiedBy>Peter Newport</cp:lastModifiedBy>
  <cp:revision>2</cp:revision>
  <cp:lastPrinted>2013-02-12T21:15:00Z</cp:lastPrinted>
  <dcterms:created xsi:type="dcterms:W3CDTF">2019-03-12T05:25:00Z</dcterms:created>
  <dcterms:modified xsi:type="dcterms:W3CDTF">2019-03-12T05:25:00Z</dcterms:modified>
</cp:coreProperties>
</file>